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7774" w14:textId="5D1A3E31" w:rsidR="00FA113C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ab/>
      </w:r>
      <w:r w:rsidR="00260CEE">
        <w:rPr>
          <w:rFonts w:ascii="Arial" w:hAnsi="Arial" w:cs="Arial"/>
          <w:b/>
          <w:sz w:val="28"/>
          <w:szCs w:val="28"/>
        </w:rPr>
        <w:t xml:space="preserve">Early years </w:t>
      </w:r>
      <w:r>
        <w:rPr>
          <w:rFonts w:ascii="Arial" w:hAnsi="Arial" w:cs="Arial"/>
          <w:b/>
          <w:sz w:val="28"/>
          <w:szCs w:val="28"/>
        </w:rPr>
        <w:t>practice procedures</w:t>
      </w:r>
    </w:p>
    <w:p w14:paraId="5E4DE4B9" w14:textId="6117263F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B1C2D">
        <w:rPr>
          <w:rFonts w:ascii="Arial" w:hAnsi="Arial" w:cs="Arial"/>
          <w:b/>
          <w:sz w:val="28"/>
          <w:szCs w:val="28"/>
        </w:rPr>
        <w:t>09.1</w:t>
      </w:r>
      <w:r w:rsidR="000C01C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  <w:t xml:space="preserve">Identification, </w:t>
      </w:r>
      <w:proofErr w:type="gramStart"/>
      <w:r>
        <w:rPr>
          <w:rFonts w:ascii="Arial" w:hAnsi="Arial" w:cs="Arial"/>
          <w:b/>
          <w:sz w:val="28"/>
          <w:szCs w:val="28"/>
        </w:rPr>
        <w:t>assessment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and support for children with SEND</w:t>
      </w:r>
    </w:p>
    <w:p w14:paraId="5233C661" w14:textId="310D89DD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 xml:space="preserve">DfE and </w:t>
      </w:r>
      <w:proofErr w:type="spellStart"/>
      <w:r w:rsidR="003C0399">
        <w:rPr>
          <w:rFonts w:ascii="Arial" w:hAnsi="Arial" w:cs="Arial"/>
          <w:sz w:val="22"/>
          <w:szCs w:val="22"/>
          <w:lang w:eastAsia="en-GB"/>
        </w:rPr>
        <w:t>DoH</w:t>
      </w:r>
      <w:proofErr w:type="spellEnd"/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proofErr w:type="gramStart"/>
      <w:r w:rsidR="00BB34A0" w:rsidRPr="00085A01">
        <w:rPr>
          <w:rFonts w:ascii="Arial" w:hAnsi="Arial" w:cs="Arial"/>
          <w:sz w:val="22"/>
          <w:szCs w:val="22"/>
        </w:rPr>
        <w:t>years</w:t>
      </w:r>
      <w:proofErr w:type="gramEnd"/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="508713C1" w:rsidRPr="00AA21E5">
        <w:rPr>
          <w:rFonts w:ascii="Arial" w:hAnsi="Arial" w:cs="Arial"/>
          <w:sz w:val="22"/>
          <w:szCs w:val="22"/>
        </w:rPr>
        <w:t xml:space="preserve">During the Covid outbreak </w:t>
      </w:r>
      <w:r w:rsidR="00C40887" w:rsidRPr="00AA21E5">
        <w:rPr>
          <w:rFonts w:ascii="Arial" w:hAnsi="Arial" w:cs="Arial"/>
          <w:sz w:val="22"/>
          <w:szCs w:val="22"/>
        </w:rPr>
        <w:t>we will</w:t>
      </w:r>
      <w:r w:rsidR="508713C1" w:rsidRPr="00AA21E5">
        <w:rPr>
          <w:rFonts w:ascii="Arial" w:hAnsi="Arial" w:cs="Arial"/>
          <w:sz w:val="22"/>
          <w:szCs w:val="22"/>
        </w:rPr>
        <w:t xml:space="preserve"> review and update children’s SEN support plans more frequently to ensure their progress and well-being.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social, </w:t>
      </w:r>
      <w:proofErr w:type="gramStart"/>
      <w:r w:rsidRPr="00085A01">
        <w:rPr>
          <w:rFonts w:ascii="Arial" w:hAnsi="Arial" w:cs="Arial"/>
          <w:sz w:val="22"/>
          <w:szCs w:val="22"/>
        </w:rPr>
        <w:t>emotional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162839EF" w:rsidR="006765DF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204338C7" w14:textId="4DE5F18D" w:rsidR="000A1C8A" w:rsidRDefault="000A1C8A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</w:p>
    <w:p w14:paraId="6F70BAA8" w14:textId="67C13D49" w:rsidR="000A1C8A" w:rsidRDefault="000A1C8A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  <w:lang w:val="en-GB"/>
        </w:rPr>
      </w:pPr>
      <w:r w:rsidRPr="000A1C8A">
        <w:rPr>
          <w:rFonts w:cs="Arial"/>
          <w:b w:val="0"/>
          <w:bCs w:val="0"/>
          <w:sz w:val="22"/>
          <w:szCs w:val="22"/>
          <w:lang w:val="en-GB"/>
        </w:rPr>
        <w:t>We have designated member of staff to act as our Special Educational Needs Co-ordinator (SENDCo)</w:t>
      </w:r>
      <w:r>
        <w:rPr>
          <w:rFonts w:cs="Arial"/>
          <w:b w:val="0"/>
          <w:bCs w:val="0"/>
          <w:sz w:val="22"/>
          <w:szCs w:val="22"/>
          <w:lang w:val="en-GB"/>
        </w:rPr>
        <w:t xml:space="preserve">, this member of staff is introduced to parents when they start </w:t>
      </w:r>
      <w:r w:rsidR="00D84FA0">
        <w:rPr>
          <w:rFonts w:cs="Arial"/>
          <w:b w:val="0"/>
          <w:bCs w:val="0"/>
          <w:sz w:val="22"/>
          <w:szCs w:val="22"/>
          <w:lang w:val="en-GB"/>
        </w:rPr>
        <w:t>regardless of</w:t>
      </w:r>
      <w:r>
        <w:rPr>
          <w:rFonts w:cs="Arial"/>
          <w:b w:val="0"/>
          <w:bCs w:val="0"/>
          <w:sz w:val="22"/>
          <w:szCs w:val="22"/>
          <w:lang w:val="en-GB"/>
        </w:rPr>
        <w:t xml:space="preserve"> if their child has need or not. </w:t>
      </w:r>
    </w:p>
    <w:p w14:paraId="09707E1A" w14:textId="57046D03" w:rsidR="000A1C8A" w:rsidRPr="000A1C8A" w:rsidRDefault="000A1C8A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  <w:u w:val="single"/>
          <w:lang w:val="en-GB"/>
        </w:rPr>
      </w:pPr>
      <w:r>
        <w:rPr>
          <w:rFonts w:cs="Arial"/>
          <w:b w:val="0"/>
          <w:bCs w:val="0"/>
          <w:sz w:val="22"/>
          <w:szCs w:val="22"/>
          <w:lang w:val="en-GB"/>
        </w:rPr>
        <w:t xml:space="preserve">Our SENDCo is </w:t>
      </w:r>
      <w:proofErr w:type="spellStart"/>
      <w:r>
        <w:rPr>
          <w:rFonts w:cs="Arial"/>
          <w:i/>
          <w:iCs/>
          <w:sz w:val="22"/>
          <w:szCs w:val="22"/>
          <w:u w:val="single"/>
          <w:lang w:val="en-GB"/>
        </w:rPr>
        <w:t>Sarahjane</w:t>
      </w:r>
      <w:proofErr w:type="spellEnd"/>
      <w:r>
        <w:rPr>
          <w:rFonts w:cs="Arial"/>
          <w:i/>
          <w:iCs/>
          <w:sz w:val="22"/>
          <w:szCs w:val="22"/>
          <w:u w:val="single"/>
          <w:lang w:val="en-GB"/>
        </w:rPr>
        <w:t xml:space="preserve"> Halladay</w:t>
      </w:r>
    </w:p>
    <w:p w14:paraId="39BD225A" w14:textId="7777777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</w:t>
      </w:r>
      <w:proofErr w:type="gramStart"/>
      <w:r w:rsidR="00F82422" w:rsidRPr="00085A01">
        <w:rPr>
          <w:rFonts w:cs="Arial"/>
          <w:szCs w:val="22"/>
        </w:rPr>
        <w:t>planning</w:t>
      </w:r>
      <w:proofErr w:type="gramEnd"/>
      <w:r w:rsidR="00F82422" w:rsidRPr="00085A01">
        <w:rPr>
          <w:rFonts w:cs="Arial"/>
          <w:szCs w:val="22"/>
        </w:rPr>
        <w:t xml:space="preserve">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04A7875F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9.12a 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55318B86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</w:t>
      </w:r>
      <w:r w:rsidRPr="00085A01">
        <w:rPr>
          <w:rFonts w:cs="Arial"/>
          <w:szCs w:val="22"/>
        </w:rPr>
        <w:lastRenderedPageBreak/>
        <w:t xml:space="preserve">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1B03ABE1" w14:textId="77777777" w:rsidR="000A1C8A" w:rsidRDefault="000A1C8A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</w:p>
    <w:p w14:paraId="5F13D03A" w14:textId="77777777" w:rsidR="000A1C8A" w:rsidRDefault="000A1C8A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</w:p>
    <w:p w14:paraId="36A30432" w14:textId="76E58B09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whether or not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A95F4C7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B568F2"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458CB9E1" w:rsidR="00964DBB" w:rsidRPr="00085A01" w:rsidRDefault="00B568F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lastRenderedPageBreak/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69F6C0D6" w:rsidR="00631D1C" w:rsidRPr="00085A01" w:rsidRDefault="00B568F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9280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C92806">
        <w:rPr>
          <w:color w:val="auto"/>
          <w:sz w:val="22"/>
          <w:szCs w:val="22"/>
        </w:rPr>
        <w:t xml:space="preserve">b SEN support: Action plan,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4468BE13" w:rsidR="00B11272" w:rsidRPr="00085A01" w:rsidRDefault="00B568F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9E0FB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9E0FB6">
        <w:rPr>
          <w:color w:val="auto"/>
          <w:sz w:val="22"/>
          <w:szCs w:val="22"/>
        </w:rPr>
        <w:t>b 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lastRenderedPageBreak/>
        <w:t>The plan should focus on the needs of the child, the true characteristics, preferences, and aspirations of the child and involvement of the parents with a clear set of targets and expected outcomes for the child. 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0CCF001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B568F2">
        <w:rPr>
          <w:rFonts w:ascii="Arial" w:hAnsi="Arial" w:cs="Arial"/>
          <w:sz w:val="22"/>
          <w:szCs w:val="22"/>
        </w:rPr>
        <w:t>0</w:t>
      </w:r>
      <w:r w:rsidR="009E0FB6" w:rsidRPr="009E0FB6">
        <w:rPr>
          <w:rFonts w:ascii="Arial" w:hAnsi="Arial" w:cs="Arial"/>
          <w:bCs/>
          <w:sz w:val="22"/>
          <w:szCs w:val="22"/>
        </w:rPr>
        <w:t>9.1</w:t>
      </w:r>
      <w:r w:rsidR="005930A1">
        <w:rPr>
          <w:rFonts w:ascii="Arial" w:hAnsi="Arial" w:cs="Arial"/>
          <w:bCs/>
          <w:sz w:val="22"/>
          <w:szCs w:val="22"/>
        </w:rPr>
        <w:t>3</w:t>
      </w:r>
      <w:r w:rsidR="009E0FB6" w:rsidRPr="009E0FB6">
        <w:rPr>
          <w:rFonts w:ascii="Arial" w:hAnsi="Arial" w:cs="Arial"/>
          <w:bCs/>
          <w:sz w:val="22"/>
          <w:szCs w:val="22"/>
        </w:rPr>
        <w:t>a 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sources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</w:t>
      </w:r>
      <w:proofErr w:type="gramStart"/>
      <w:r w:rsidR="00D3083F" w:rsidRPr="00085A01">
        <w:rPr>
          <w:rFonts w:ascii="Arial" w:hAnsi="Arial" w:cs="Arial"/>
          <w:sz w:val="22"/>
          <w:szCs w:val="22"/>
        </w:rPr>
        <w:t>views;</w:t>
      </w:r>
      <w:proofErr w:type="gramEnd"/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A01">
        <w:rPr>
          <w:rFonts w:ascii="Arial" w:hAnsi="Arial" w:cs="Arial"/>
          <w:sz w:val="22"/>
          <w:szCs w:val="22"/>
        </w:rPr>
        <w:t>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5A2D0AAA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lastRenderedPageBreak/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(01.1b)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</w:t>
      </w:r>
      <w:proofErr w:type="gramStart"/>
      <w:r w:rsidRPr="00085A01">
        <w:rPr>
          <w:rFonts w:ascii="Arial" w:hAnsi="Arial" w:cs="Arial"/>
          <w:sz w:val="22"/>
          <w:szCs w:val="22"/>
        </w:rPr>
        <w:t>support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lastRenderedPageBreak/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</w:t>
      </w:r>
      <w:proofErr w:type="gramStart"/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</w:t>
      </w:r>
      <w:proofErr w:type="gramEnd"/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0871198C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proofErr w:type="gramStart"/>
      <w:r w:rsidR="04611858" w:rsidRPr="00085A01">
        <w:rPr>
          <w:rFonts w:ascii="Arial" w:hAnsi="Arial" w:cs="Arial"/>
          <w:sz w:val="22"/>
          <w:szCs w:val="22"/>
        </w:rPr>
        <w:t>paediatrician</w:t>
      </w:r>
      <w:proofErr w:type="gramEnd"/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000000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</w:t>
      </w:r>
      <w:proofErr w:type="spellStart"/>
      <w:r w:rsidR="003C0399">
        <w:rPr>
          <w:rFonts w:ascii="Arial" w:hAnsi="Arial" w:cs="Arial"/>
          <w:sz w:val="22"/>
          <w:szCs w:val="22"/>
        </w:rPr>
        <w:t>DoH</w:t>
      </w:r>
      <w:proofErr w:type="spellEnd"/>
      <w:r w:rsidR="003C0399">
        <w:rPr>
          <w:rFonts w:ascii="Arial" w:hAnsi="Arial" w:cs="Arial"/>
          <w:sz w:val="22"/>
          <w:szCs w:val="22"/>
        </w:rPr>
        <w:t xml:space="preserve"> 2015) </w:t>
      </w:r>
    </w:p>
    <w:p w14:paraId="4BD602BE" w14:textId="584A4D3E" w:rsidR="00161D3D" w:rsidRPr="00085A01" w:rsidRDefault="00000000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>Alliance 2018)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F8F4" w14:textId="77777777" w:rsidR="00FD357B" w:rsidRDefault="00FD357B" w:rsidP="003C7A9F">
      <w:r>
        <w:separator/>
      </w:r>
    </w:p>
  </w:endnote>
  <w:endnote w:type="continuationSeparator" w:id="0">
    <w:p w14:paraId="2550D364" w14:textId="77777777" w:rsidR="00FD357B" w:rsidRDefault="00FD357B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50F77C78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8214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7ED8" w14:textId="77777777" w:rsidR="00FD357B" w:rsidRDefault="00FD357B" w:rsidP="003C7A9F">
      <w:r>
        <w:separator/>
      </w:r>
    </w:p>
  </w:footnote>
  <w:footnote w:type="continuationSeparator" w:id="0">
    <w:p w14:paraId="6A1C7B5C" w14:textId="77777777" w:rsidR="00FD357B" w:rsidRDefault="00FD357B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1C8A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4FA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357B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government/publications/send-code-of-practice-0-to-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Joanne Kent</cp:lastModifiedBy>
  <cp:revision>2</cp:revision>
  <cp:lastPrinted>2018-05-03T18:57:00Z</cp:lastPrinted>
  <dcterms:created xsi:type="dcterms:W3CDTF">2022-11-03T12:55:00Z</dcterms:created>
  <dcterms:modified xsi:type="dcterms:W3CDTF">2022-11-03T12:55:00Z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